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B4" w:rsidRPr="00E01BB4" w:rsidRDefault="00E01BB4" w:rsidP="00E01BB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</w:pPr>
      <w:r w:rsidRPr="00E01BB4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  <w14:ligatures w14:val="standardContextual"/>
        </w:rPr>
        <w:drawing>
          <wp:inline distT="0" distB="0" distL="0" distR="0" wp14:anchorId="65CF212E" wp14:editId="5638C810">
            <wp:extent cx="760095" cy="902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B4" w:rsidRPr="00E01BB4" w:rsidRDefault="00E01BB4" w:rsidP="00E01BB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01BB4" w:rsidRPr="00295E79" w:rsidRDefault="00E01BB4" w:rsidP="00295E79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95E7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Муниципальное бюджетное общеобразовательное учреждение</w:t>
      </w:r>
      <w:r w:rsidRPr="00295E79">
        <w:rPr>
          <w:rFonts w:ascii="Times New Roman" w:eastAsia="Times New Roman" w:hAnsi="Times New Roman" w:cs="Times New Roman"/>
          <w:b/>
          <w:sz w:val="32"/>
          <w:szCs w:val="32"/>
        </w:rPr>
        <w:br/>
      </w:r>
      <w:proofErr w:type="spellStart"/>
      <w:r w:rsidRPr="00295E7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Брылинская</w:t>
      </w:r>
      <w:proofErr w:type="spellEnd"/>
      <w:r w:rsidRPr="00295E7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основная общеобразовательная школа</w:t>
      </w:r>
    </w:p>
    <w:tbl>
      <w:tblPr>
        <w:tblW w:w="9991" w:type="dxa"/>
        <w:tblInd w:w="9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5"/>
        <w:gridCol w:w="4996"/>
      </w:tblGrid>
      <w:tr w:rsidR="00E01BB4" w:rsidRPr="00295E79" w:rsidTr="00295E79">
        <w:trPr>
          <w:trHeight w:val="1892"/>
        </w:trPr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BB4" w:rsidRPr="00E01BB4" w:rsidRDefault="00E01BB4" w:rsidP="00E01BB4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</w:rPr>
            </w:pPr>
          </w:p>
        </w:tc>
        <w:tc>
          <w:tcPr>
            <w:tcW w:w="49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BB4" w:rsidRPr="00295E79" w:rsidRDefault="00E01BB4" w:rsidP="00E01BB4">
            <w:pPr>
              <w:widowControl w:val="0"/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01BB4" w:rsidRPr="00295E79" w:rsidRDefault="00E01BB4" w:rsidP="00E01BB4">
            <w:pPr>
              <w:widowControl w:val="0"/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01BB4" w:rsidRPr="00295E79" w:rsidRDefault="00E01BB4" w:rsidP="00E01BB4">
            <w:pPr>
              <w:widowControl w:val="0"/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29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Брылинская</w:t>
            </w:r>
            <w:proofErr w:type="spellEnd"/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Рыканцева</w:t>
            </w:r>
            <w:proofErr w:type="spellEnd"/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М.А.)</w:t>
            </w:r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Приказ №___п.__</w:t>
            </w:r>
          </w:p>
          <w:p w:rsidR="00E01BB4" w:rsidRPr="00295E79" w:rsidRDefault="00E01BB4" w:rsidP="00E01BB4">
            <w:pPr>
              <w:widowControl w:val="0"/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_____________</w:t>
            </w:r>
          </w:p>
        </w:tc>
      </w:tr>
    </w:tbl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</w:p>
    <w:p w:rsidR="00295E79" w:rsidRDefault="00E01BB4" w:rsidP="00295E7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  <w:bookmarkStart w:id="0" w:name="_Hlk195013228"/>
      <w:r w:rsidRPr="00E01BB4"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  <w:t>Программа</w:t>
      </w:r>
    </w:p>
    <w:p w:rsidR="00295E79" w:rsidRDefault="00E01BB4" w:rsidP="00295E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proofErr w:type="gramStart"/>
      <w:r w:rsidRPr="00E01BB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туристич</w:t>
      </w:r>
      <w:r w:rsidR="00295E79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еского  палаточного</w:t>
      </w:r>
      <w:proofErr w:type="gramEnd"/>
      <w:r w:rsidR="00295E79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лагеря  на базе</w:t>
      </w:r>
    </w:p>
    <w:p w:rsidR="00E01BB4" w:rsidRPr="00E01BB4" w:rsidRDefault="00E01BB4" w:rsidP="00295E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E01BB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МБОУ </w:t>
      </w:r>
      <w:proofErr w:type="spellStart"/>
      <w:r w:rsidRPr="00E01BB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Брылинская</w:t>
      </w:r>
      <w:proofErr w:type="spellEnd"/>
      <w:r w:rsidRPr="00E01BB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ООШ</w:t>
      </w:r>
    </w:p>
    <w:p w:rsidR="00295E79" w:rsidRDefault="00E01BB4" w:rsidP="002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  <w:t>«Дружба народов», посвященная</w:t>
      </w:r>
    </w:p>
    <w:p w:rsidR="00E01BB4" w:rsidRPr="00E01BB4" w:rsidRDefault="00295E79" w:rsidP="00295E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  <w:t xml:space="preserve"> Г</w:t>
      </w:r>
      <w:r w:rsidR="00E01BB4" w:rsidRPr="00E01BB4"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  <w:t>оду единства народов России</w:t>
      </w:r>
    </w:p>
    <w:bookmarkEnd w:id="0"/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</w:pPr>
    </w:p>
    <w:p w:rsidR="00E01BB4" w:rsidRP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</w:t>
      </w:r>
    </w:p>
    <w:p w:rsidR="00E01BB4" w:rsidRP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95E79" w:rsidRPr="00E01BB4" w:rsidRDefault="00295E79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01BB4" w:rsidRP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01BB4" w:rsidRPr="00E01BB4" w:rsidRDefault="00E01BB4" w:rsidP="00E01BB4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Кесова Гора  2026 г.</w:t>
      </w:r>
    </w:p>
    <w:p w:rsidR="00E01BB4" w:rsidRPr="00E01BB4" w:rsidRDefault="00E01BB4" w:rsidP="00E01BB4">
      <w:pPr>
        <w:keepNext/>
        <w:keepLines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1BB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Оглавление</w:t>
      </w:r>
    </w:p>
    <w:p w:rsidR="00E01BB4" w:rsidRPr="00E01BB4" w:rsidRDefault="00E01BB4" w:rsidP="00E01BB4">
      <w:pPr>
        <w:tabs>
          <w:tab w:val="right" w:leader="dot" w:pos="9345"/>
        </w:tabs>
        <w:spacing w:after="100" w:line="278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E01BB4" w:rsidRPr="00E01BB4" w:rsidRDefault="00E01BB4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fldChar w:fldCharType="begin"/>
      </w:r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instrText xml:space="preserve"> TOC \o "1-3" \h \z \u </w:instrText>
      </w:r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fldChar w:fldCharType="separate"/>
      </w:r>
      <w:hyperlink w:anchor="_Toc226360952" w:history="1">
        <w:r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ПАСПОРТ ПРОГРАММЫ</w:t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_Toc226360952 \h </w:instrText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3</w:t>
        </w:r>
        <w:r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left" w:pos="960"/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3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1.1.</w:t>
        </w:r>
        <w:r w:rsidR="00E01BB4" w:rsidRPr="00E01BB4">
          <w:rPr>
            <w:rFonts w:ascii="Calibri" w:eastAsia="Times New Roman" w:hAnsi="Calibri" w:cs="Times New Roman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 xml:space="preserve"> Концептуальное обоснование и педагогическая идея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_Toc226360953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4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left" w:pos="960"/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4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1.2.</w:t>
        </w:r>
        <w:r w:rsidR="00E01BB4" w:rsidRPr="00E01BB4">
          <w:rPr>
            <w:rFonts w:ascii="Calibri" w:eastAsia="Times New Roman" w:hAnsi="Calibri" w:cs="Times New Roman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Нормативно-правовая база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_Toc226360954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5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left" w:pos="960"/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5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1.3.</w:t>
        </w:r>
        <w:r w:rsidR="00E01BB4" w:rsidRPr="00E01BB4">
          <w:rPr>
            <w:rFonts w:ascii="Calibri" w:eastAsia="Times New Roman" w:hAnsi="Calibri" w:cs="Times New Roman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 xml:space="preserve"> Актуальность и новизна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_Toc226360955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6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6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ЦЕЛЕВЫЕ ОРИЕНТИРЫ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_Toc226360956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7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7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2.1. Цель и задачи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_Toc226360957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7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8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2.2. Прогнозируемые результаты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_Toc226360958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8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59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МЕХАНИЗМ РЕАЛИЗАЦИИ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_Toc226360959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8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0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3.1. Структура построения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_Toc226360960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8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1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3.2. Система детского самоуправления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_Toc226360961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9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2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3.3. Синхронизация Программы летней профильной смены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_Toc226360962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9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3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ОСНОВНЫЕ ЭТАПЫ И СОДЕРЖАНИЕ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_Toc226360963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10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4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4.1. Основные этапы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_Toc226360964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10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5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4.2. Ключевые мероприятия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_Toc226360965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11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6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УСЛОВИЯ РЕАЛИЗАЦИИ ПРОГРАММЫ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_Toc226360966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11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7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5.1. Организационные условия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_Toc226360967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11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8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5.2. Материально-технические условия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_Toc226360968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12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69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5.3. Информационно-методические условия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_Toc226360969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12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ind w:left="240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70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5.4. Кадровые условия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_Toc226360970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12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71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ОЦЕНКА РЕЗУЛЬТАТИВНОСТИ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_Toc226360971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13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72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СПИСОК ИСПОЛЬЗОВАННЫХ ИСТОЧНИКОВ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_Toc226360972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16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73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Приложение 1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_Toc226360973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17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2176BC" w:rsidP="00E01BB4">
      <w:pPr>
        <w:tabs>
          <w:tab w:val="right" w:leader="dot" w:pos="9345"/>
        </w:tabs>
        <w:spacing w:after="100" w:line="278" w:lineRule="auto"/>
        <w:rPr>
          <w:rFonts w:ascii="Calibri" w:eastAsia="Times New Roman" w:hAnsi="Calibri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360974" w:history="1">
        <w:r w:rsidR="00E01BB4" w:rsidRPr="00E01BB4">
          <w:rPr>
            <w:rFonts w:ascii="Times New Roman" w:eastAsia="Calibri" w:hAnsi="Times New Roman" w:cs="Times New Roman"/>
            <w:b/>
            <w:bCs/>
            <w:noProof/>
            <w:kern w:val="2"/>
            <w:sz w:val="24"/>
            <w:szCs w:val="24"/>
            <w:u w:val="single"/>
            <w14:ligatures w14:val="standardContextual"/>
          </w:rPr>
          <w:t>Приложение 2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ab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begin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instrText xml:space="preserve"> PAGEREF _Toc226360974 \h </w:instrTex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separate"/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t>33</w:t>
        </w:r>
        <w:r w:rsidR="00E01BB4" w:rsidRPr="00E01BB4">
          <w:rPr>
            <w:rFonts w:ascii="Calibri" w:eastAsia="Calibri" w:hAnsi="Calibri" w:cs="Times New Roman"/>
            <w:noProof/>
            <w:webHidden/>
            <w:kern w:val="2"/>
            <w:sz w:val="24"/>
            <w:szCs w:val="24"/>
            <w14:ligatures w14:val="standardContextual"/>
          </w:rPr>
          <w:fldChar w:fldCharType="end"/>
        </w:r>
      </w:hyperlink>
    </w:p>
    <w:p w:rsidR="00E01BB4" w:rsidRPr="00E01BB4" w:rsidRDefault="00E01BB4" w:rsidP="00E01BB4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1BB4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fldChar w:fldCharType="end"/>
      </w:r>
      <w:r w:rsidRPr="00E01BB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01BB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br w:type="page"/>
      </w:r>
    </w:p>
    <w:p w:rsidR="00E01BB4" w:rsidRPr="00E01BB4" w:rsidRDefault="00E01BB4" w:rsidP="00E01BB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Toc226360952"/>
      <w:r w:rsidRPr="00E01BB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ПАСПОРТ ПРОГРАММЫ</w:t>
      </w:r>
      <w:bookmarkEnd w:id="1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Значение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Турист</w:t>
            </w:r>
            <w:r w:rsidR="00295E79">
              <w:rPr>
                <w:rFonts w:ascii="Times New Roman" w:eastAsia="Calibri" w:hAnsi="Times New Roman" w:cs="Times New Roman"/>
                <w:sz w:val="28"/>
                <w:szCs w:val="28"/>
              </w:rPr>
              <w:t>ический  палаточный</w:t>
            </w:r>
            <w:proofErr w:type="gramEnd"/>
            <w:r w:rsidR="0029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лагерь  на базе </w:t>
            </w:r>
            <w:bookmarkStart w:id="2" w:name="_GoBack"/>
            <w:bookmarkEnd w:id="2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Брылинская</w:t>
            </w:r>
            <w:proofErr w:type="spellEnd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 «Дружба народов», посвященная году единства народов России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 программы 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Модифицированная  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Социально-гуманитарная, 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туристско-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краеведческая, физкультурно-спортивная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Вид программы по уровню организации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Познавательно-творческий, спортивный, патриотический, общеобразовательный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hd w:val="clear" w:color="auto" w:fill="FFFFFF"/>
              <w:spacing w:after="160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171 470, Россия, Тверская область, </w:t>
            </w:r>
          </w:p>
          <w:p w:rsidR="00E01BB4" w:rsidRPr="00E01BB4" w:rsidRDefault="00E01BB4" w:rsidP="00E01BB4">
            <w:pPr>
              <w:shd w:val="clear" w:color="auto" w:fill="FFFFFF"/>
              <w:spacing w:after="160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Кесовогорский</w:t>
            </w:r>
            <w:proofErr w:type="spellEnd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мунииципальный</w:t>
            </w:r>
            <w:proofErr w:type="spellEnd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округ ,</w:t>
            </w:r>
            <w:proofErr w:type="gramEnd"/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E01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Брылино</w:t>
            </w:r>
            <w:proofErr w:type="spellEnd"/>
            <w:r w:rsidRPr="00E01BB4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Адресаты программы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общеобразовательных </w:t>
            </w:r>
            <w:proofErr w:type="gram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  </w:t>
            </w:r>
            <w:proofErr w:type="spell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Кесовогорского</w:t>
            </w:r>
            <w:proofErr w:type="spellEnd"/>
            <w:proofErr w:type="gramEnd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Тверской области   10–17 лет  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</w:t>
            </w:r>
            <w:r w:rsidR="00A653BF">
              <w:rPr>
                <w:rFonts w:ascii="Times New Roman" w:eastAsia="Calibri" w:hAnsi="Times New Roman" w:cs="Times New Roman"/>
                <w:sz w:val="28"/>
                <w:szCs w:val="28"/>
              </w:rPr>
              <w:t>дети, находящие на различных ви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дах учета.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смен / продолжительность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3 дня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Круглосуточное 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Язык реализации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Дата разработки</w:t>
            </w:r>
          </w:p>
        </w:tc>
        <w:tc>
          <w:tcPr>
            <w:tcW w:w="6373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01BB4" w:rsidRPr="00E01BB4" w:rsidRDefault="00E01BB4" w:rsidP="00E01BB4">
      <w:pPr>
        <w:spacing w:after="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E01BB4" w:rsidRPr="00E01BB4" w:rsidRDefault="00E01BB4" w:rsidP="00E01BB4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ПОЯСНИТЕЛЬНАЯ ЗАПИСКА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3" w:name="_Toc226360953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1.1.</w:t>
      </w: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 xml:space="preserve"> Концептуальное обоснование и педагогическая идея программы</w:t>
      </w:r>
      <w:bookmarkEnd w:id="3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2026 год объявлен Президентом Российской Федерации Годом единства народов России. Соответствующий Указ был подписан 25.12.2025 года.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footnoteReference w:id="1"/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народа.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Программа летней профильной смены «Дружба народов» (далее-Программа)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   – региону, где исторически проживают в мире и согласии различные этносы. По информации </w:t>
      </w:r>
      <w:bookmarkStart w:id="4" w:name="_Hlk225972951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Регионального отделения Тверской области Общероссийской общественно - государственной организации «Ассамблея народов России» в Тверской области </w:t>
      </w:r>
      <w:bookmarkEnd w:id="4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проживает более 100 национальностей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footnoteReference w:id="2"/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Педагогическая идея программы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заключается в воспитании у подрастающего поколения уважения к таким фундаментальным ценностям, как жизнь, единство народов России, историческая память и преемственность поколений. Все мероприятия смены направлены на практическое воплощение этих ценностей через изучение культурного наследия и традиций народов, населяющих Тверскую область.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footnoteReference w:id="3"/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 системно-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деятельностный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и  аксиологический подход.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Системно-</w:t>
      </w:r>
      <w:proofErr w:type="spellStart"/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деятельностный</w:t>
      </w:r>
      <w:proofErr w:type="spellEnd"/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подход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 педагогических работников в условиях временного детского коллектива, развитию их субъектной позиции.</w:t>
      </w:r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Аксиологический подход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представляет собой систему педагогических техник и методов, которые способствуют развитию у детей и молодежи нравственных качеств, 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footnoteReference w:id="4"/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Программа направлена на формирование у детей и подростков 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5" w:name="_Toc226360954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1.2.</w:t>
      </w: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>Нормативно-правовая база</w:t>
      </w:r>
      <w:bookmarkEnd w:id="5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 ценностей и гармонизации межнациональных отношений.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Правовая основа программы базируется на следующих ключевых документах: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Конституция РФ;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Конвенция ООН о правах ребенка.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Федеральные законы: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ФЗ № 273-ФЗ «Об образовании в РФ»;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ФЗ № 124-ФЗ «Об основных гарантиях прав ребенка в РФ»;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ФЗ № 489-ФЗ «О молодежной политике в РФ»;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ФЗ № 261-ФЗ «О российском движении детей и молодежи».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Указы Президента и стратегии: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Указ Президента РФ от 07.05.2024 № 309 «О национальных целях развития РФ на период до 2030 года и на перспективу до 2036 года»;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Ведомственные акты: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Приказ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Минпросвещения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6" w:name="_Toc226360955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1.3.</w:t>
      </w: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 xml:space="preserve"> Актуальность и новизна</w:t>
      </w:r>
      <w:bookmarkEnd w:id="6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Актуальность.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условиях федеральной повестки перед организацией отдыха детей и их оздоровления ставится задача формирования суверенной системы воспитания.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Новизна 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Программы и ее отличительные особенности заключаются в синтезе аксиологического и системно-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деятельностного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подходов, а также во внедрении интегрального подхода к оценке эффективности реализации данной программы.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Программа насыщена творческими мероприятиями, направленными на создание атмосферы дружбы, сотрудничества и взаимопонимания. Акцент в течение смены делается на развитии чувства патриотизма, уважения к другим культурам, умения вести диалог и находить компромиссы. Специфика временного детского коллектива и возрастные особенности участников учитываются при разработке программы.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Отличительные особенности: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в отличие от традиционных программ, делающих акцент на массовых мероприятиях, представленная программа смещает фокус на «отрядную работу» и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субъектность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ребенка (совместное планирование, рефлексивные сборы, детское самоуправление);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1.4.</w:t>
      </w: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 xml:space="preserve"> Особенности участников программы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Участниками Программы  дети и подростки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Кесовогорского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муниципального округа   10–17 лет </w:t>
      </w:r>
    </w:p>
    <w:p w:rsidR="00E01BB4" w:rsidRPr="00E01BB4" w:rsidRDefault="00335103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Для детей 10-14</w:t>
      </w:r>
      <w:r w:rsidR="00E01BB4"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лет – знакомство с традиционными играми, сказками и ремеслами народов Тверской области.</w:t>
      </w:r>
    </w:p>
    <w:p w:rsidR="00E01BB4" w:rsidRPr="00E01BB4" w:rsidRDefault="00335103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Для  подростков 15-17</w:t>
      </w:r>
      <w:r w:rsidR="00E01BB4"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лет – вовлечение в исследовательскую и творческую деятельность, изучение культурного наследия народов.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●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E01BB4" w:rsidRPr="00E01BB4" w:rsidRDefault="00E01BB4" w:rsidP="00E01BB4">
      <w:pPr>
        <w:keepNext/>
        <w:keepLines/>
        <w:spacing w:before="360" w:after="8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7" w:name="_Toc226360956"/>
      <w:r w:rsidRPr="00E01BB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ЦЕЛЕВЫЕ ОРИЕНТИРЫ ПРОГРАММЫ</w:t>
      </w:r>
      <w:bookmarkEnd w:id="7"/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8" w:name="_Toc226360957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2.1. Цель и задачи</w:t>
      </w:r>
      <w:bookmarkEnd w:id="8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ребенка.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Задачи по направлениям: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Гражданско-патриотическое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уважения к символам Российской Федерации, истории родного края, традиционным ценностям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толерантности, </w:t>
            </w:r>
            <w:proofErr w:type="spell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, культуры поведения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конфликтности; знание национальной культуры народов РФ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 и ЗОЖ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здоровья через физическую активность и профилактические мероприятия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Динамика физических показателей; отсутствие травматизма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развитие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ind w:left="3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и сопровождение одаренных детей, </w:t>
            </w:r>
          </w:p>
          <w:p w:rsidR="00E01BB4" w:rsidRPr="00E01BB4" w:rsidRDefault="00E01BB4" w:rsidP="00E01BB4">
            <w:pPr>
              <w:spacing w:after="160"/>
              <w:ind w:left="3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кругозора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творческого продукта (медиа, </w:t>
            </w:r>
          </w:p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поделки, проекты)</w:t>
            </w:r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ind w:left="3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 к природе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акциях, </w:t>
            </w:r>
            <w:proofErr w:type="spellStart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экопривычки</w:t>
            </w:r>
            <w:proofErr w:type="spellEnd"/>
          </w:p>
        </w:tc>
      </w:tr>
      <w:tr w:rsidR="00E01BB4" w:rsidRPr="00E01BB4" w:rsidTr="006D4773">
        <w:tc>
          <w:tcPr>
            <w:tcW w:w="297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Социализация и самоуправление</w:t>
            </w:r>
          </w:p>
        </w:tc>
        <w:tc>
          <w:tcPr>
            <w:tcW w:w="3258" w:type="dxa"/>
          </w:tcPr>
          <w:p w:rsidR="00E01BB4" w:rsidRPr="00E01BB4" w:rsidRDefault="00E01BB4" w:rsidP="00E01BB4">
            <w:pPr>
              <w:spacing w:after="160"/>
              <w:ind w:left="3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лидерских качеств, навыков самоорганизации</w:t>
            </w:r>
          </w:p>
        </w:tc>
        <w:tc>
          <w:tcPr>
            <w:tcW w:w="3115" w:type="dxa"/>
          </w:tcPr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Функционирование </w:t>
            </w:r>
          </w:p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актива лагеря, реализация инициативы</w:t>
            </w:r>
          </w:p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детей, 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навыки </w:t>
            </w:r>
          </w:p>
          <w:p w:rsidR="00E01BB4" w:rsidRPr="00E01BB4" w:rsidRDefault="00E01BB4" w:rsidP="00E01BB4">
            <w:pPr>
              <w:spacing w:after="160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командной работы</w:t>
            </w:r>
          </w:p>
        </w:tc>
      </w:tr>
    </w:tbl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9" w:name="_Toc226360958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2.2. Прогнозируемые результаты</w:t>
      </w:r>
      <w:bookmarkEnd w:id="9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Предметные: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Расширение знаний в области истории и географии родного края;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Освоение конкретных техник декоративно-прикладного творчества, медиа журналистики, спортивных игр.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proofErr w:type="spellStart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Метапредметные</w:t>
      </w:r>
      <w:proofErr w:type="spellEnd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Умение планировать деятельность, распределять роли в команде;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Навыки публичного представления результатов (защита проектов);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Способность к рефлексии и самооценке;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Понимание принципов здорового питания и гигиены.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Личностные: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Сформированность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российской гражданской идентичности (чувство гордости за Отечество, родной край);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Осознание ценности здоровья, безопасности, природы;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Наличие мотивации к творческому труду и познанию.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ind w:left="720" w:firstLine="851"/>
        <w:contextualSpacing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0" w:name="_Toc226360959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МЕХАНИЗМ РЕАЛИЗАЦИИ ПРОГРАММЫ</w:t>
      </w:r>
      <w:bookmarkEnd w:id="10"/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1" w:name="_Toc226360960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3.1. Структура построения программы</w:t>
      </w:r>
      <w:bookmarkEnd w:id="11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Программа состоит из 3-х тематических блоков. Каждый блок программы – 1 тематический день,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10–11, 12–14, 15–17 лет.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Тематический блок: «Россия- семья народов» (1день)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Тематические </w:t>
      </w:r>
      <w:proofErr w:type="gram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мероприятия :</w:t>
      </w:r>
      <w:proofErr w:type="gramEnd"/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«День дружбы», «Команда будущего», «Единство», «Вместе мы сила», «Подвиги предков», «Будущее в наших руках», «Хранители культуры».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Тематический блок «Большая семья – тверская традиция» (1 день)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Тематические мероприятия: «Семья – это мы», «Семейный очаг», «Семейный альбом», «Богатырская наша сила», «Семейная гостиная», «Семейный архив», «Семейная копилка».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Тематический блок: «Край Тверской – мой край родной»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Тематические мероприятия:</w:t>
      </w:r>
      <w:r w:rsidRPr="00E01BB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«Тверская история», «Природа Тверского края», «Мои герои», «Наши традиции», «Мастерская добрых дел», «Хоровод дружбы», «До новых встреч…»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2" w:name="_Toc226360961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3.2. Система детского самоуправления</w:t>
      </w:r>
      <w:bookmarkEnd w:id="12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Уровни: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1.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Отрядный уровень: Командир, физорг, редколлегия, эколог, культмассовый сектор (сменные поручения).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2.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Общелагерный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уровень: Совет лагеря (командиры отрядов + педагоги), деятельность инициируется Движением Первых.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Функционал: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Участие в планировании и помощь в подготовке мероприятий;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Организация дежурства;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•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Выпуск информационных материалов.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3" w:name="_Toc226360962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3.3. Синхронизация </w:t>
      </w:r>
      <w:bookmarkStart w:id="14" w:name="_Hlk226010295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Программы летней профильной смены</w:t>
      </w:r>
      <w:bookmarkEnd w:id="13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«Дружба народов»</w:t>
      </w:r>
      <w:bookmarkEnd w:id="14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с Программой воспитательной работы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Содержание Программы летней профильной смены «Дружба 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</w:t>
      </w:r>
      <w:proofErr w:type="gram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оздоровления ,</w:t>
      </w:r>
      <w:proofErr w:type="gram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реализующих данную Программу в период летней оздоровительной компании 2026 года.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Необходимо синхронизировать информацию следующим образом: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структурных элементов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Программы летней профильной смены «Дружба народов»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разделов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Программы воспитательной работы организаций 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отдыха детей и их оздоровления 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Тверской области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1. Пояснительная записка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Концептуальное обоснование и педагогическая идея программы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Актуальность и новизна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І.  Общие положения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Целевые ориентиры программы</w:t>
            </w:r>
          </w:p>
          <w:p w:rsidR="00E01BB4" w:rsidRPr="00E01BB4" w:rsidRDefault="00E01BB4" w:rsidP="00E01BB4">
            <w:pPr>
              <w:spacing w:after="16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2.1. Цель и задачи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II. Целевой раздел Программы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:rsidR="00E01BB4" w:rsidRPr="00E01BB4" w:rsidRDefault="00E01BB4" w:rsidP="00E01BB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3.2. Система детского самоуправления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Инвариантный модуль «Детское самоуправление»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Инвариантный модуль «Инклюзивное пространство»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Инвариантный модуль «Психолого-педагогическое сопровождение»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Основные этапы и содержание программы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4.1. Основные этапы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4.2. Ключевые мероприятия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Блоки «Мир», «Россия», «Человек»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Инвариантные модули: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«Культура России»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«Профориентация»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Вариативные модули: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«Экскурсии и походы» 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«Детская дипломатия и международные отношения» (при наличии)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Условия реализации программы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5" w:name="_Hlk226014521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5.1. Организационные условия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5.2. Материально-технические условия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5.3. Информационно-методические условия</w:t>
            </w: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5.4. Кадровые условия</w:t>
            </w:r>
            <w:bookmarkEnd w:id="15"/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Партнерское взаимодействие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родительским сообществом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обеспечение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Кадровое обеспечение</w:t>
            </w:r>
          </w:p>
        </w:tc>
      </w:tr>
      <w:tr w:rsidR="00E01BB4" w:rsidRPr="00E01BB4" w:rsidTr="006D4773">
        <w:tc>
          <w:tcPr>
            <w:tcW w:w="4248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6. Оценка результативности</w:t>
            </w:r>
          </w:p>
        </w:tc>
        <w:tc>
          <w:tcPr>
            <w:tcW w:w="5097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последействия </w:t>
            </w:r>
          </w:p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Анализ воспитательной работы</w:t>
            </w:r>
          </w:p>
        </w:tc>
      </w:tr>
    </w:tbl>
    <w:p w:rsidR="00E01BB4" w:rsidRPr="00E01BB4" w:rsidRDefault="00E01BB4" w:rsidP="00E01BB4">
      <w:pPr>
        <w:keepNext/>
        <w:keepLines/>
        <w:spacing w:before="360" w:after="80" w:line="278" w:lineRule="auto"/>
        <w:outlineLvl w:val="0"/>
        <w:rPr>
          <w:rFonts w:ascii="Times New Roman" w:eastAsia="Times New Roman" w:hAnsi="Times New Roman" w:cs="Times New Roman"/>
          <w:color w:val="2F5496"/>
          <w:kern w:val="2"/>
          <w:sz w:val="28"/>
          <w:szCs w:val="28"/>
          <w14:ligatures w14:val="standardContextual"/>
        </w:rPr>
      </w:pPr>
      <w:bookmarkStart w:id="16" w:name="_Toc226360963"/>
      <w:r w:rsidRPr="00E01BB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ОСНОВНЫЕ ЭТАПЫ И СОДЕРЖАНИЕ ПРОГРАММЫ</w:t>
      </w:r>
      <w:bookmarkEnd w:id="16"/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7" w:name="_Toc226360964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4.1. Основные этапы</w:t>
      </w:r>
      <w:bookmarkEnd w:id="17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  <w:t>Подготовительный этап: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подбор и обучение кадров;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заключение договоров партнерского взаимодействия;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подготовка методических материалов;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информационная работа с родителями (законными представителями) детей;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  <w:t>Организационный период смены: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 адаптация детей к новым условиям,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знакомство с режимом, правилами, укладом организации;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формирование отрядов;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Праздник открытия смены</w:t>
      </w:r>
    </w:p>
    <w:p w:rsidR="00E01BB4" w:rsidRPr="00E01BB4" w:rsidRDefault="00E01BB4" w:rsidP="00E01BB4">
      <w:pPr>
        <w:spacing w:after="0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  <w:t>Основной период смены: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- тематические дни по Программе;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проектная деятельность;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спортивные соревнования по национальным видам спорта;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творческие конкурсы и фестивали;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тренинги и беседы.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Итоговый период смены: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 отрядные огоньки с подведением итогов профильной смены;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итоговый фестиваль «Сказки у общего костра»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  <w:t>Этап последействия: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подведение итогов реализации программы профильной смены;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подведение итогов программы воспитательной работы.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анализ обратной связи и диагностических методик;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определение наиболее и наименее эффективных форм деятельности.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  <w:t>Анализ воспитательной работы: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анализ обратной связи и диагностических методик;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определение наиболее и наименее эффективных форм деятельности.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8" w:name="_Toc226360965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4.2. Ключевые мероприятия</w:t>
      </w:r>
      <w:bookmarkEnd w:id="18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Ключевыми мероприятиями смены являются события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общелагерного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уровня, подготовка к которым ведется в течение каждого тематического блока: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 блок Фестиваль «Сказки у общего костра»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 блок Музыкальный фестиваль «Песни моей семьи»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 блок Фестиваль «Диалог культур»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ind w:firstLine="851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9" w:name="_Toc226360966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УСЛОВИЯ РЕАЛИЗАЦИИ ПРОГРАММЫ</w:t>
      </w:r>
      <w:bookmarkEnd w:id="19"/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0" w:name="_Toc226360967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5.1. Организационные условия</w:t>
      </w:r>
      <w:bookmarkEnd w:id="20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подбор и обучение кадрового состава (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вожатско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-педагогического и технического персонала);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заключение договоров с партнерскими организациями;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изучение и подбор методических материалов;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закупка необходимого оборудования;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информационная работа с родителями (законными представителями) детей, размещение информации на сайте и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госпабликах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организации о сроках, участниках и основных задачах профильной смены;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1" w:name="_Toc226360968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5.2. Материально-технические условия</w:t>
      </w:r>
      <w:bookmarkEnd w:id="21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Перечень оборудования: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Спортивный инвентарь (мячи, скакалки, обручи, теннис и т.д.);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Канцелярские принадлежности (ватман, краски, фломастеры и т.д.);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Мультимедийное оборудование (проектор, экран, аудиоаппаратура и т.д.);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Настольные игры; 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Материалы для творчества (цветная бумага, клей, пластилин и т.д.).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2" w:name="_Toc226360969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5.3. Информационно-методические условия</w:t>
      </w:r>
      <w:bookmarkEnd w:id="22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Обучение кадрового состава,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Проведение педагогических и методических советов, консультаций в процессе подготовки и реализации Программы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Подбор методической литературы для использования в процессе подготовки проектов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в ходе реализации Программы</w:t>
      </w:r>
    </w:p>
    <w:p w:rsidR="00E01BB4" w:rsidRPr="00E01BB4" w:rsidRDefault="00E01BB4" w:rsidP="00E01BB4">
      <w:pPr>
        <w:spacing w:after="0"/>
        <w:ind w:firstLine="851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3" w:name="_Toc226360970"/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5.4. Кадровые условия</w:t>
      </w:r>
      <w:bookmarkEnd w:id="23"/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Рекомендуемое кадровое обеспечение:</w:t>
      </w:r>
    </w:p>
    <w:p w:rsidR="00E01BB4" w:rsidRPr="00E01BB4" w:rsidRDefault="00E01BB4" w:rsidP="00E01BB4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Заместитель начальника 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из расчета 1 на отряд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829" w:type="dxa"/>
          </w:tcPr>
          <w:p w:rsidR="00E01BB4" w:rsidRPr="00E01BB4" w:rsidRDefault="00AE6865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расчета 1</w:t>
            </w:r>
            <w:r w:rsidR="00E01BB4"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отряд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по факту нагрузки</w:t>
            </w:r>
          </w:p>
        </w:tc>
      </w:tr>
      <w:tr w:rsidR="00E01BB4" w:rsidRPr="00E01BB4" w:rsidTr="006D4773">
        <w:tc>
          <w:tcPr>
            <w:tcW w:w="704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E01BB4" w:rsidRPr="00E01BB4" w:rsidRDefault="00E01BB4" w:rsidP="00E01BB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829" w:type="dxa"/>
          </w:tcPr>
          <w:p w:rsidR="00E01BB4" w:rsidRPr="00E01BB4" w:rsidRDefault="00E01BB4" w:rsidP="00E01BB4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BB4">
              <w:rPr>
                <w:rFonts w:ascii="Times New Roman" w:eastAsia="Calibri" w:hAnsi="Times New Roman" w:cs="Times New Roman"/>
                <w:sz w:val="28"/>
                <w:szCs w:val="28"/>
              </w:rPr>
              <w:t>1 (по договору)</w:t>
            </w:r>
          </w:p>
        </w:tc>
      </w:tr>
    </w:tbl>
    <w:p w:rsidR="00E01BB4" w:rsidRPr="00E01BB4" w:rsidRDefault="00E01BB4" w:rsidP="00E01BB4">
      <w:pPr>
        <w:keepNext/>
        <w:keepLines/>
        <w:spacing w:before="360" w:after="8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kern w:val="2"/>
          <w:sz w:val="28"/>
          <w:szCs w:val="28"/>
          <w14:ligatures w14:val="standardContextual"/>
        </w:rPr>
      </w:pPr>
      <w:bookmarkStart w:id="24" w:name="_Toc226360971"/>
      <w:r w:rsidRPr="00E01BB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ОЦЕНКА РЕЗУЛЬТАТИВНОСТИ</w:t>
      </w:r>
      <w:bookmarkEnd w:id="24"/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 родителей.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Система оценки включает три этапа: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Входная диагностика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(1–2 день смены) – определение стартового уровня знаний, интересов, физических показателей, социометрического статуса.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Текущий мониторинг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(в течение смены) – фиксация участия, наблюдение, рефлексивные мероприятия.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Итоговая диагностика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(последние 2–3 дня) – сравнение результатов с ожидаемыми, самооценка детей, анкетирование.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Критерии и показатели оценки по направлениям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34"/>
        <w:gridCol w:w="4382"/>
      </w:tblGrid>
      <w:tr w:rsidR="00E01BB4" w:rsidRPr="00E01BB4" w:rsidTr="006D4773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Направление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Критерии результативности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Показатели и методы оценки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Гражданско-патриотическое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Сформированность</w:t>
            </w:r>
            <w:proofErr w:type="spellEnd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уважения к государственным символам и истории родного края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Правильное исполнение Гимна РФ на линейках (наблюдение).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Знание символов (опрос, викторина)</w:t>
            </w:r>
          </w:p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знание традиций народов, проживающих на территории Тверской области. 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Наличие проектов о малой Родине (выставка, защита).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Духовно-нравственное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Уровень толерантности, </w:t>
            </w:r>
            <w:proofErr w:type="spellStart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эмпатии</w:t>
            </w:r>
            <w:proofErr w:type="spellEnd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, культуры поведения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Снижение количества конфликтных ситуаций (фиксация вожатыми, психологом).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Положительная динамика по методике «Цветовой тест отношений» (на начало и конец смены).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Участие в мероприятиях, посвященных культуре народов РФ.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Физическое развитие и ЗОЖ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Укрепление здоровья, освоение норм ЗОЖ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Динамика физических показателей (тесты: бег, прыжки, подтягивания – в начале и конце смены).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Отсутствие травматизма (статистика медпункта).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Знание принципов здорового питания.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Творческое развитие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Наличие творческого продукта, расширение кругозора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– Количество и качество творческих работ (поделки, медиа-ролики, посты, рисунки) 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Участие в конкурсах и фестивалях (грамоты, дипломы).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Защита индивидуального или группового проекта.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Экологическое воспитание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Сформированность</w:t>
            </w:r>
            <w:proofErr w:type="spellEnd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ответственного отношения к природе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– Участие в экологических акциях 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 xml:space="preserve">– </w:t>
            </w:r>
            <w:proofErr w:type="spellStart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Сформированность</w:t>
            </w:r>
            <w:proofErr w:type="spellEnd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экопривычек</w:t>
            </w:r>
            <w:proofErr w:type="spellEnd"/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(сортировка мусора, экономия воды) – наблюдение, опрос.</w:t>
            </w:r>
          </w:p>
        </w:tc>
      </w:tr>
      <w:tr w:rsidR="00E01BB4" w:rsidRPr="00E01BB4" w:rsidTr="006D4773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left="28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Социализация и самоуправление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Развитие лидерских качеств, навыков командной работы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1BB4" w:rsidRPr="00E01BB4" w:rsidRDefault="00E01BB4" w:rsidP="00E01BB4">
            <w:pPr>
              <w:spacing w:after="0"/>
              <w:ind w:right="30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Функционирование актива лагеря (протоколы заседаний, реализованные инициативы).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Динамика уровня сплоченности отряда (социометрия)</w:t>
            </w:r>
            <w:r w:rsidRPr="00E01BB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br/>
              <w:t>– Навыки самоорганизации (дежурство, планирование дня) – чек-листы отрядных дел.</w:t>
            </w:r>
          </w:p>
        </w:tc>
      </w:tr>
    </w:tbl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Формы фиксации и предъявления результатов</w:t>
      </w:r>
    </w:p>
    <w:p w:rsidR="00E01BB4" w:rsidRPr="00E01BB4" w:rsidRDefault="00E01BB4" w:rsidP="00E01BB4">
      <w:pPr>
        <w:numPr>
          <w:ilvl w:val="0"/>
          <w:numId w:val="3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Личная карта достижений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(портфолио ребенка): грамоты, благодарности, отметки о выполнении творческих и спортивных заданий.</w:t>
      </w:r>
    </w:p>
    <w:p w:rsidR="00E01BB4" w:rsidRPr="00E01BB4" w:rsidRDefault="00E01BB4" w:rsidP="00E01BB4">
      <w:pPr>
        <w:numPr>
          <w:ilvl w:val="0"/>
          <w:numId w:val="3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Экран настроения и активности отряда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(цветовая или балльная система, ежедневное обновление).</w:t>
      </w:r>
    </w:p>
    <w:p w:rsidR="00E01BB4" w:rsidRPr="00E01BB4" w:rsidRDefault="00E01BB4" w:rsidP="00E01BB4">
      <w:pPr>
        <w:numPr>
          <w:ilvl w:val="0"/>
          <w:numId w:val="3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Итоговая защита проектов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E01BB4" w:rsidRPr="00E01BB4" w:rsidRDefault="00E01BB4" w:rsidP="00E01BB4">
      <w:pPr>
        <w:numPr>
          <w:ilvl w:val="0"/>
          <w:numId w:val="3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Видеоролик о смене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(создается детской медиа-командой).</w:t>
      </w:r>
    </w:p>
    <w:p w:rsidR="00E01BB4" w:rsidRPr="00E01BB4" w:rsidRDefault="00E01BB4" w:rsidP="00E01BB4">
      <w:pPr>
        <w:numPr>
          <w:ilvl w:val="0"/>
          <w:numId w:val="3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Аналитическая справка для администрации лагеря</w:t>
      </w: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(по результатам всех диагностических срезов).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Удовлетворенность участников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Для оценки удовлетворенности детей и родителей используются: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Анкета «Мое лето в лагере» (закрытые и открытые вопросы), родительское онлайн-анкетирование (через мессенджеры или официальный канал лагеря), «Копилка пожеланий» (почтовый ящик для отзывов и предложений).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Результативность смены считается высокой, если не менее 80% детей демонстрируют положительную динамику по 2/3 показателей; реализовано не менее 80% запланированных мероприятий; уровень удовлетворенности детей и родителей составляет не менее 85% (по данным анкетирования).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</w:p>
    <w:p w:rsidR="00E01BB4" w:rsidRPr="00AE6865" w:rsidRDefault="00E01BB4" w:rsidP="00E01BB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5" w:name="_Toc226360972"/>
      <w:r w:rsidRPr="00AE68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СПИСОК ИСПОЛЬЗОВАННЫХ ИСТОЧНИКОВ</w:t>
      </w:r>
      <w:bookmarkEnd w:id="25"/>
    </w:p>
    <w:p w:rsidR="00E01BB4" w:rsidRPr="00AE6865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E686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Нормативные документы:</w:t>
      </w:r>
    </w:p>
    <w:p w:rsidR="00E01BB4" w:rsidRPr="00E01BB4" w:rsidRDefault="00E01BB4" w:rsidP="00E01BB4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Конституция Российской Федерации (с изм. 2020).</w:t>
      </w:r>
    </w:p>
    <w:p w:rsidR="00E01BB4" w:rsidRPr="00E01BB4" w:rsidRDefault="00E01BB4" w:rsidP="00E01BB4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Федеральный закон от 29.12.2012 № 273-ФЗ «Об образовании в Российской Федерации» (ред. от 01.01.2025).</w:t>
      </w:r>
    </w:p>
    <w:p w:rsidR="00E01BB4" w:rsidRPr="00E01BB4" w:rsidRDefault="00E01BB4" w:rsidP="00E01BB4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E01BB4" w:rsidRPr="00E01BB4" w:rsidRDefault="00E01BB4" w:rsidP="00E01BB4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E01BB4" w:rsidRPr="00E01BB4" w:rsidRDefault="00E01BB4" w:rsidP="00E01BB4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Приказ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Минпросвещения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Методическая литература:</w:t>
      </w:r>
    </w:p>
    <w:p w:rsidR="00E01BB4" w:rsidRPr="00E01BB4" w:rsidRDefault="00E01BB4" w:rsidP="00E01BB4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E01BB4" w:rsidRPr="00E01BB4" w:rsidRDefault="00E01BB4" w:rsidP="00E01BB4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Иванов И.П. Энциклопедия коллективных творческих дел. – М.: Педагогика, 2016. – 208 с.</w:t>
      </w:r>
    </w:p>
    <w:p w:rsidR="00E01BB4" w:rsidRPr="00E01BB4" w:rsidRDefault="00E01BB4" w:rsidP="00E01BB4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Григоренко Ю.Н. Детский оздоровительный лагерь: воспитательное пространство. – М.: Академия, 2021. – 312 с.</w:t>
      </w:r>
    </w:p>
    <w:p w:rsidR="00E01BB4" w:rsidRPr="00E01BB4" w:rsidRDefault="00E01BB4" w:rsidP="00E01BB4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Ориентиры мира игры: познание, дружба, </w:t>
      </w:r>
      <w:proofErr w:type="gram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созидание :</w:t>
      </w:r>
      <w:proofErr w:type="gram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сборник игровых технологий / Ю. А.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Миняева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Л. В. Спирина, И. И. </w:t>
      </w:r>
      <w:proofErr w:type="spellStart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Фришман</w:t>
      </w:r>
      <w:proofErr w:type="spellEnd"/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[и др.]. – Москва: Государственный университет просвещения, 2025. – 142 с.</w:t>
      </w:r>
    </w:p>
    <w:p w:rsidR="00E01BB4" w:rsidRP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01BB4" w:rsidRPr="00E01BB4" w:rsidRDefault="00E01BB4" w:rsidP="00E01BB4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01B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</w:p>
    <w:p w:rsidR="00923671" w:rsidRDefault="00923671"/>
    <w:sectPr w:rsidR="00923671" w:rsidSect="00295E7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BC" w:rsidRDefault="002176BC" w:rsidP="00E01BB4">
      <w:pPr>
        <w:spacing w:after="0" w:line="240" w:lineRule="auto"/>
      </w:pPr>
      <w:r>
        <w:separator/>
      </w:r>
    </w:p>
  </w:endnote>
  <w:endnote w:type="continuationSeparator" w:id="0">
    <w:p w:rsidR="002176BC" w:rsidRDefault="002176BC" w:rsidP="00E0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BC" w:rsidRDefault="002176BC" w:rsidP="00E01BB4">
      <w:pPr>
        <w:spacing w:after="0" w:line="240" w:lineRule="auto"/>
      </w:pPr>
      <w:r>
        <w:separator/>
      </w:r>
    </w:p>
  </w:footnote>
  <w:footnote w:type="continuationSeparator" w:id="0">
    <w:p w:rsidR="002176BC" w:rsidRDefault="002176BC" w:rsidP="00E01BB4">
      <w:pPr>
        <w:spacing w:after="0" w:line="240" w:lineRule="auto"/>
      </w:pPr>
      <w:r>
        <w:continuationSeparator/>
      </w:r>
    </w:p>
  </w:footnote>
  <w:footnote w:id="1">
    <w:p w:rsidR="00E01BB4" w:rsidRDefault="00E01BB4" w:rsidP="00E01BB4">
      <w:pPr>
        <w:pStyle w:val="a3"/>
      </w:pPr>
      <w:r>
        <w:rPr>
          <w:rStyle w:val="a6"/>
        </w:rPr>
        <w:footnoteRef/>
      </w:r>
      <w:r>
        <w:t xml:space="preserve"> Указ Президента Российской Федерации от 25.12.2025 № 962 "О проведении в Российской Федерации Года единства народов России"  </w:t>
      </w:r>
      <w:hyperlink r:id="rId1" w:history="1">
        <w:r w:rsidRPr="00072EB8">
          <w:rPr>
            <w:rStyle w:val="10"/>
          </w:rPr>
          <w:t>http://publication.pravo.gov.ru/document/0001202512250003?ysclid=mngdaz1ucb823815963</w:t>
        </w:r>
      </w:hyperlink>
      <w:r>
        <w:t xml:space="preserve"> </w:t>
      </w:r>
    </w:p>
  </w:footnote>
  <w:footnote w:id="2">
    <w:p w:rsidR="00E01BB4" w:rsidRDefault="00E01BB4" w:rsidP="00E01BB4">
      <w:pPr>
        <w:pStyle w:val="a3"/>
      </w:pPr>
      <w:r>
        <w:rPr>
          <w:rStyle w:val="a6"/>
        </w:rPr>
        <w:footnoteRef/>
      </w:r>
      <w:r>
        <w:t xml:space="preserve"> </w:t>
      </w:r>
      <w:r w:rsidRPr="00116C68">
        <w:t>Регионально</w:t>
      </w:r>
      <w:r>
        <w:t>е</w:t>
      </w:r>
      <w:r w:rsidRPr="00116C68">
        <w:t xml:space="preserve"> отделени</w:t>
      </w:r>
      <w:r>
        <w:t xml:space="preserve">е </w:t>
      </w:r>
      <w:r w:rsidRPr="00116C68">
        <w:t>Общероссийской общественно - государственной организации «Ассамблея народов России»</w:t>
      </w:r>
      <w:r>
        <w:t xml:space="preserve"> </w:t>
      </w:r>
      <w:r w:rsidRPr="00116C68">
        <w:t xml:space="preserve"> Тверской области</w:t>
      </w:r>
      <w:r>
        <w:t xml:space="preserve"> </w:t>
      </w:r>
      <w:hyperlink r:id="rId2" w:history="1">
        <w:r w:rsidRPr="00072EB8">
          <w:rPr>
            <w:rStyle w:val="10"/>
          </w:rPr>
          <w:t>https://tver.ogoanr.ru/</w:t>
        </w:r>
      </w:hyperlink>
      <w:r>
        <w:t xml:space="preserve"> </w:t>
      </w:r>
    </w:p>
  </w:footnote>
  <w:footnote w:id="3">
    <w:p w:rsidR="00E01BB4" w:rsidRDefault="00E01BB4" w:rsidP="00E01BB4">
      <w:pPr>
        <w:pStyle w:val="a3"/>
      </w:pPr>
      <w:r>
        <w:rPr>
          <w:rStyle w:val="a6"/>
        </w:rPr>
        <w:footnoteRef/>
      </w:r>
      <w:r w:rsidRPr="00657337">
        <w:t xml:space="preserve">Приказ </w:t>
      </w:r>
      <w:proofErr w:type="spellStart"/>
      <w:r w:rsidRPr="00657337">
        <w:t>Минпросвещения</w:t>
      </w:r>
      <w:proofErr w:type="spellEnd"/>
      <w:r w:rsidRPr="00657337">
        <w:t xml:space="preserve"> России от 17.03.2025 № 209 </w:t>
      </w:r>
      <w:r>
        <w:t xml:space="preserve">  </w:t>
      </w:r>
      <w:hyperlink r:id="rId3" w:history="1">
        <w:r w:rsidRPr="00072EB8">
          <w:rPr>
            <w:rStyle w:val="10"/>
          </w:rPr>
          <w:t>http://publication.pravo.gov.ru/document/0001202503310005</w:t>
        </w:r>
      </w:hyperlink>
      <w:r>
        <w:t xml:space="preserve"> </w:t>
      </w:r>
    </w:p>
  </w:footnote>
  <w:footnote w:id="4">
    <w:p w:rsidR="00E01BB4" w:rsidRDefault="00E01BB4" w:rsidP="00E01BB4">
      <w:pPr>
        <w:pStyle w:val="a3"/>
      </w:pPr>
      <w:r>
        <w:rPr>
          <w:rStyle w:val="a6"/>
        </w:rPr>
        <w:footnoteRef/>
      </w:r>
      <w: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2D5"/>
    <w:multiLevelType w:val="multilevel"/>
    <w:tmpl w:val="C8A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F5CEF"/>
    <w:multiLevelType w:val="multilevel"/>
    <w:tmpl w:val="044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E266E"/>
    <w:multiLevelType w:val="multilevel"/>
    <w:tmpl w:val="1CE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3D"/>
    <w:rsid w:val="0008433D"/>
    <w:rsid w:val="002176BC"/>
    <w:rsid w:val="00295E79"/>
    <w:rsid w:val="00335103"/>
    <w:rsid w:val="005D4D0C"/>
    <w:rsid w:val="00923671"/>
    <w:rsid w:val="00A653BF"/>
    <w:rsid w:val="00AE6865"/>
    <w:rsid w:val="00E0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9510"/>
  <w15:docId w15:val="{2146E748-AAC9-445C-931E-C22925CA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B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BB4"/>
    <w:rPr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E01BB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E01BB4"/>
    <w:rPr>
      <w:color w:val="0563C1"/>
      <w:u w:val="single"/>
    </w:rPr>
  </w:style>
  <w:style w:type="character" w:styleId="a6">
    <w:name w:val="footnote reference"/>
    <w:basedOn w:val="a0"/>
    <w:uiPriority w:val="99"/>
    <w:semiHidden/>
    <w:unhideWhenUsed/>
    <w:rsid w:val="00E01BB4"/>
    <w:rPr>
      <w:vertAlign w:val="superscript"/>
    </w:rPr>
  </w:style>
  <w:style w:type="table" w:styleId="a5">
    <w:name w:val="Table Grid"/>
    <w:basedOn w:val="a1"/>
    <w:uiPriority w:val="59"/>
    <w:rsid w:val="00E0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01BB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" TargetMode="External"/><Relationship Id="rId2" Type="http://schemas.openxmlformats.org/officeDocument/2006/relationships/hyperlink" Target="https://tver.ogoanr.ru/" TargetMode="External"/><Relationship Id="rId1" Type="http://schemas.openxmlformats.org/officeDocument/2006/relationships/hyperlink" Target="http://publication.pravo.gov.ru/document/0001202512250003?ysclid=mngdaz1ucb823815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Mery</cp:lastModifiedBy>
  <cp:revision>7</cp:revision>
  <dcterms:created xsi:type="dcterms:W3CDTF">2026-05-31T20:34:00Z</dcterms:created>
  <dcterms:modified xsi:type="dcterms:W3CDTF">2026-06-03T05:09:00Z</dcterms:modified>
</cp:coreProperties>
</file>